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aee367d9f408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26856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SENJ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8.680.184,07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8.581.815,48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6.786.341,29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11.320.069,31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2.738.253,83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385.786,12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273.642,10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2.262.671,46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2.923.514,77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1.876.885,34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2.649.872,67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161.113,82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161.457,48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161.113,82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161.457,48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144.156,38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5.549.583,98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3849,7</w:t>
            </w:r>
          </w:p>
        </w:tc>
      </w:tr>
    </w:tbl>
    <w:p>
      <w:pPr>
        <w:spacing w:before="0" w:after="0"/>
      </w:pPr>
    </w:p>
    <w:p>
      <w:r>
        <w:t xml:space="preserve">Poslovanje Grada Senja u izvještajnom razdoblju obavljeno je putem jednog IBAN-a pod brojem HR7124020061500140300. Poslovanje je obavljeno s prosječno 40 zaposlenika na osnovi stanja na početku i na kraju izvještajnog razdoblja 39. Prihodi poslovanja Grada Senja u izvještajnom razdoblju ostvareni su u iznosu od 8.581.815,48 eura, a u 2024. su ostvareni u iznosu od 8.680.184,07 eura. Rashodi poslovanja u izvještajnom razdoblju su iznosili 11.320.069,31 eura, dok su u 2024. iznosili 6.786.341,29 eura. Razlozi povećanja su sljedeći povećanje rashoda zaposlenika, rashodi za usluge tekućeh i investicijskog održavanja građevinskih objekata u vlasništvu Grada Senja, subvencije trgovačkom društvima u vlasništvu Grada, i sl. Razlog je i metodološki manjak nastao zbog knjiženja 13 rashoda. Rashodi za nabavu nefinancijske imovine u izvještajnom razdoblju utvrđeni su u iznosu od 434.167,76 eura. Ostvareni je manjak prihoda od nefinancijske imovine izvještajnog razdoblja u iznosu od 2.649.872,67 eura. Grad Senj u 2025. nije ostvario primitke od financijske imovine  zaduživanja. Grad Senj je u izvještajnom razdoblju tekuće godine izvršio otplatu dospjelih kredita i zajmova u ukupnom  iznosu od 161.457,48 eura. U 2025. manjak prihoda i primitka za sljedeća razdoblja su 5.549.583,98 eura. Imovina Grada Senja na dan 31.12..2025., evidentirana je u iznosu od 28.417.002,31 eura, od čega nefinancijska imovina iznosi 13.366.401,56 eura, i financijske u iznosu od 7.825.805,58. Stanje na tekućem računu dana 31.12.2025 iznosi 817.803,78, potraživanje za prihode poslovanja utvrđena su u iznosu od 12.562.196,04 eura.   Manjak je ostavren s obzirom na upis troška pravomoćne sudske presude Regulusa kao podloga za zaduživanje.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4.690.200,51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izvještano razdoblje  iznose 8.043.005,04 eura.</w:t>
      </w:r>
    </w:p>
    <w:p>
      <w:r>
        <w:t xml:space="preserve">Povećanje obaveza je utjecalo metodološko knjiženje za 13 rashod, knjiženje sudskog ročišta za slučaj Regulus. Dospjele obaveze su iznosile 4.690.200,51 euro, a nedospjele obaveze 3.352.804,53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Grad Senj je u izvještajnom razdoblju ostvario pomoći iz EU sredstava u iznosu od 169.753,92 eura, a rashodi su ostvareni u iznosu od 250.667,36 eura.</w:t>
      </w:r>
    </w:p>
    <w:p>
      <w:r>
        <w:t xml:space="preserve">Grad provodi program Zaželi, koji je finaciran sredstvima i EU, za pomoć starijim i nemoćnim građanima, a u pripremi je i projekt Centar za starije osobe u Senju, koji će uskoro započeti s radovima u 2026, ali nismo još sredstva ostvarili iz EU-a.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e14f80bfa24fe5" /></Relationships>
</file>